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nella disciplina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in disciplina affine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specializzando nella disciplina / contratto emergenza COVID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non sanitaria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triennale sanitaria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primo autore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in collaborazione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primo o unico autore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in collaborazione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case report,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Capitolo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4,000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ATS/ASST/PA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ATS/ASST/PA (nessun orario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 presso strutture private accreditate/convenzionate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presso strutture private accreditate/convenzionate (nessun orario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Medico di continuità assistenziale/Guardia medica/altre attività assistenziali/medico vaccinatore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Dirigente Medico presso SSN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volontarie/stage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ricerca presso Università in disciplina diversa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1° livello -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2° livello -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Dottorato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Docente/Relatore a corso, convegno, congress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corso, convegno, congresso, formazione, tutor o responsabile scientifico, attestati attinenti, certificati di lingua straniera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Casistica operatoria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Assegno di ricerca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1a2a25c2efdc4cc0"/>
                        <pic:cNvPicPr/>
                      </pic:nvPicPr>
                      <pic:blipFill>
                        <a:blip r:embed="R1a2a25c2efdc4cc0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 1 POSTO DI DIRIGENTE MEDICO DISCIPLINA MEDICINA E CHIRURGIA D'ACCETTAZIONE E D'URGENZA, A TEMPO INDETERMINATO E A TEMPO PIENO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1a2a25c2efdc4cc0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